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31"/>
        <w:gridCol w:w="60"/>
        <w:gridCol w:w="145"/>
        <w:gridCol w:w="666"/>
        <w:gridCol w:w="7224"/>
      </w:tblGrid>
      <w:tr w14:paraId="6322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01D8542E">
            <w:pPr>
              <w:pStyle w:val="3"/>
              <w:spacing w:after="0"/>
              <w:jc w:val="center"/>
              <w:rPr>
                <w:rFonts w:ascii="宋体" w:hAnsi="宋体" w:cs="方正小标宋简体"/>
                <w:b/>
                <w:bCs/>
                <w:szCs w:val="21"/>
              </w:rPr>
            </w:pPr>
            <w:r>
              <w:rPr>
                <w:rFonts w:hint="eastAsia" w:ascii="宋体" w:hAnsi="宋体" w:cs="方正小标宋简体"/>
                <w:b/>
                <w:bCs/>
                <w:szCs w:val="21"/>
              </w:rPr>
              <w:t>宣传消防车技术需求表</w:t>
            </w:r>
          </w:p>
        </w:tc>
      </w:tr>
      <w:tr w14:paraId="46F1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2B787374">
            <w:pPr>
              <w:pStyle w:val="14"/>
              <w:shd w:val="clear" w:color="auto" w:fill="auto"/>
              <w:ind w:left="100"/>
              <w:jc w:val="center"/>
              <w:rPr>
                <w:rFonts w:ascii="宋体" w:hAnsi="宋体" w:cs="宋体"/>
                <w:szCs w:val="21"/>
              </w:rPr>
            </w:pPr>
            <w:r>
              <w:rPr>
                <w:rFonts w:hint="eastAsia" w:ascii="宋体" w:hAnsi="宋体" w:cs="宋体"/>
                <w:szCs w:val="21"/>
              </w:rPr>
              <w:t>主要技术参数及要求</w:t>
            </w:r>
          </w:p>
        </w:tc>
      </w:tr>
      <w:tr w14:paraId="5E693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4C1BB7DB">
            <w:pPr>
              <w:pStyle w:val="14"/>
              <w:shd w:val="clear" w:color="auto" w:fill="auto"/>
              <w:ind w:left="100"/>
              <w:jc w:val="center"/>
              <w:rPr>
                <w:rFonts w:ascii="宋体" w:hAnsi="宋体" w:cs="宋体"/>
                <w:szCs w:val="21"/>
              </w:rPr>
            </w:pPr>
            <w:r>
              <w:rPr>
                <w:rFonts w:hint="eastAsia" w:ascii="宋体" w:hAnsi="宋体" w:cs="宋体"/>
                <w:szCs w:val="21"/>
                <w:lang w:bidi="ar"/>
              </w:rPr>
              <w:t xml:space="preserve">数量：辆    </w:t>
            </w:r>
            <w:r>
              <w:rPr>
                <w:rFonts w:hint="eastAsia" w:ascii="宋体" w:hAnsi="宋体" w:cs="宋体"/>
                <w:szCs w:val="21"/>
              </w:rPr>
              <w:t>预算单价：万元/辆   总计：万元</w:t>
            </w:r>
          </w:p>
        </w:tc>
      </w:tr>
      <w:tr w14:paraId="4F1A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05880AFC">
            <w:pPr>
              <w:pStyle w:val="14"/>
              <w:shd w:val="clear" w:color="auto" w:fill="auto"/>
              <w:rPr>
                <w:rFonts w:ascii="宋体" w:hAnsi="宋体" w:cs="宋体"/>
                <w:szCs w:val="21"/>
              </w:rPr>
            </w:pPr>
            <w:r>
              <w:rPr>
                <w:rStyle w:val="15"/>
                <w:rFonts w:hint="default" w:ascii="宋体" w:hAnsi="宋体" w:eastAsia="宋体"/>
                <w:b/>
                <w:bCs/>
                <w:szCs w:val="21"/>
              </w:rPr>
              <w:t>（一）整车</w:t>
            </w:r>
          </w:p>
        </w:tc>
      </w:tr>
      <w:tr w14:paraId="081B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38DCBA3B">
            <w:pPr>
              <w:pStyle w:val="14"/>
              <w:shd w:val="clear" w:color="auto" w:fill="auto"/>
              <w:jc w:val="center"/>
              <w:rPr>
                <w:rFonts w:ascii="宋体" w:hAnsi="宋体" w:cs="宋体"/>
                <w:szCs w:val="21"/>
              </w:rPr>
            </w:pPr>
            <w:r>
              <w:rPr>
                <w:rFonts w:hint="eastAsia" w:ascii="宋体" w:hAnsi="宋体"/>
                <w:szCs w:val="21"/>
              </w:rPr>
              <w:t>1</w:t>
            </w:r>
          </w:p>
        </w:tc>
        <w:tc>
          <w:tcPr>
            <w:tcW w:w="4825" w:type="pct"/>
            <w:gridSpan w:val="3"/>
            <w:noWrap/>
            <w:vAlign w:val="center"/>
          </w:tcPr>
          <w:p w14:paraId="06E130D8">
            <w:pPr>
              <w:ind w:left="57"/>
              <w:rPr>
                <w:rFonts w:ascii="宋体" w:hAnsi="宋体" w:cs="宋体"/>
                <w:szCs w:val="21"/>
              </w:rPr>
            </w:pPr>
            <w:r>
              <w:rPr>
                <w:rFonts w:ascii="宋体" w:hAnsi="宋体"/>
                <w:szCs w:val="21"/>
              </w:rPr>
              <w:t>▲</w:t>
            </w:r>
            <w:r>
              <w:rPr>
                <w:rFonts w:hint="eastAsia" w:ascii="宋体" w:hAnsi="宋体"/>
                <w:szCs w:val="21"/>
              </w:rPr>
              <w:t>满载总质量</w:t>
            </w:r>
            <w:r>
              <w:rPr>
                <w:rFonts w:hint="eastAsia" w:ascii="宋体" w:hAnsi="宋体" w:cs="宋体"/>
                <w:szCs w:val="21"/>
              </w:rPr>
              <w:t>：</w:t>
            </w:r>
            <w:r>
              <w:rPr>
                <w:rFonts w:hint="eastAsia" w:ascii="宋体" w:hAnsi="宋体"/>
                <w:szCs w:val="21"/>
              </w:rPr>
              <w:t>≥</w:t>
            </w:r>
            <w:r>
              <w:rPr>
                <w:rFonts w:hint="eastAsia" w:ascii="宋体" w:hAnsi="宋体" w:cs="宋体"/>
                <w:szCs w:val="21"/>
              </w:rPr>
              <w:t>5000</w:t>
            </w:r>
            <w:r>
              <w:rPr>
                <w:rFonts w:ascii="宋体" w:hAnsi="宋体" w:cs="宋体"/>
                <w:szCs w:val="21"/>
              </w:rPr>
              <w:t>kg</w:t>
            </w:r>
          </w:p>
        </w:tc>
      </w:tr>
      <w:tr w14:paraId="1D7E7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22ED4BBC">
            <w:pPr>
              <w:pStyle w:val="14"/>
              <w:shd w:val="clear" w:color="auto" w:fill="auto"/>
              <w:jc w:val="center"/>
              <w:rPr>
                <w:rFonts w:ascii="宋体" w:hAnsi="宋体" w:cs="宋体"/>
                <w:szCs w:val="21"/>
              </w:rPr>
            </w:pPr>
            <w:r>
              <w:rPr>
                <w:rFonts w:hint="eastAsia" w:ascii="宋体" w:hAnsi="宋体"/>
                <w:szCs w:val="21"/>
              </w:rPr>
              <w:t>2</w:t>
            </w:r>
          </w:p>
        </w:tc>
        <w:tc>
          <w:tcPr>
            <w:tcW w:w="4825" w:type="pct"/>
            <w:gridSpan w:val="3"/>
            <w:noWrap/>
            <w:vAlign w:val="center"/>
          </w:tcPr>
          <w:p w14:paraId="047F2A17">
            <w:pPr>
              <w:ind w:left="57"/>
              <w:rPr>
                <w:rFonts w:ascii="宋体" w:hAnsi="宋体" w:cs="宋体"/>
                <w:szCs w:val="21"/>
              </w:rPr>
            </w:pPr>
            <w:r>
              <w:rPr>
                <w:rFonts w:ascii="宋体" w:hAnsi="宋体"/>
                <w:szCs w:val="21"/>
              </w:rPr>
              <w:t>▲</w:t>
            </w:r>
            <w:r>
              <w:rPr>
                <w:rFonts w:hint="eastAsia" w:ascii="宋体" w:hAnsi="宋体" w:cs="宋体"/>
                <w:szCs w:val="21"/>
              </w:rPr>
              <w:t>乘员人数（含驾驶员）：</w:t>
            </w:r>
            <w:r>
              <w:rPr>
                <w:rFonts w:hint="eastAsia" w:ascii="宋体" w:hAnsi="宋体"/>
                <w:szCs w:val="21"/>
              </w:rPr>
              <w:t>≥</w:t>
            </w:r>
            <w:r>
              <w:rPr>
                <w:rFonts w:hint="eastAsia" w:ascii="宋体" w:hAnsi="宋体" w:cs="宋体"/>
                <w:szCs w:val="21"/>
              </w:rPr>
              <w:t>2人</w:t>
            </w:r>
          </w:p>
        </w:tc>
      </w:tr>
      <w:tr w14:paraId="261D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169E59D4">
            <w:pPr>
              <w:pStyle w:val="14"/>
              <w:shd w:val="clear" w:color="auto" w:fill="auto"/>
              <w:jc w:val="center"/>
              <w:rPr>
                <w:rFonts w:ascii="宋体" w:hAnsi="宋体"/>
                <w:szCs w:val="21"/>
              </w:rPr>
            </w:pPr>
            <w:r>
              <w:rPr>
                <w:rFonts w:hint="eastAsia" w:ascii="宋体" w:hAnsi="宋体"/>
                <w:szCs w:val="21"/>
              </w:rPr>
              <w:t>3</w:t>
            </w:r>
          </w:p>
        </w:tc>
        <w:tc>
          <w:tcPr>
            <w:tcW w:w="4825" w:type="pct"/>
            <w:gridSpan w:val="3"/>
            <w:noWrap/>
            <w:vAlign w:val="center"/>
          </w:tcPr>
          <w:p w14:paraId="53E8D416">
            <w:pPr>
              <w:ind w:left="57"/>
              <w:rPr>
                <w:rFonts w:ascii="宋体" w:hAnsi="宋体"/>
                <w:szCs w:val="21"/>
              </w:rPr>
            </w:pPr>
            <w:r>
              <w:rPr>
                <w:rFonts w:ascii="宋体" w:hAnsi="宋体"/>
                <w:szCs w:val="21"/>
              </w:rPr>
              <w:t>▲</w:t>
            </w:r>
            <w:r>
              <w:rPr>
                <w:rFonts w:hint="eastAsia" w:ascii="宋体" w:hAnsi="宋体"/>
                <w:szCs w:val="21"/>
              </w:rPr>
              <w:t>外廓尺寸≥5900*2200*2900</w:t>
            </w:r>
          </w:p>
        </w:tc>
      </w:tr>
      <w:tr w14:paraId="521BC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468A512F">
            <w:pPr>
              <w:pStyle w:val="14"/>
              <w:shd w:val="clear" w:color="auto" w:fill="auto"/>
              <w:jc w:val="center"/>
              <w:rPr>
                <w:rFonts w:ascii="宋体" w:hAnsi="宋体"/>
                <w:szCs w:val="21"/>
              </w:rPr>
            </w:pPr>
            <w:r>
              <w:rPr>
                <w:rFonts w:hint="eastAsia" w:ascii="宋体" w:hAnsi="宋体"/>
                <w:szCs w:val="21"/>
              </w:rPr>
              <w:t>4</w:t>
            </w:r>
          </w:p>
        </w:tc>
        <w:tc>
          <w:tcPr>
            <w:tcW w:w="4825" w:type="pct"/>
            <w:gridSpan w:val="3"/>
            <w:noWrap/>
            <w:vAlign w:val="center"/>
          </w:tcPr>
          <w:p w14:paraId="435940E8">
            <w:pPr>
              <w:ind w:left="57"/>
              <w:rPr>
                <w:rFonts w:ascii="宋体" w:hAnsi="宋体"/>
                <w:szCs w:val="21"/>
              </w:rPr>
            </w:pPr>
            <w:r>
              <w:rPr>
                <w:rFonts w:hint="eastAsia" w:ascii="宋体" w:hAnsi="宋体"/>
                <w:szCs w:val="21"/>
              </w:rPr>
              <w:t>▲最大车速≥80km/h</w:t>
            </w:r>
          </w:p>
        </w:tc>
      </w:tr>
      <w:tr w14:paraId="4DD65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0F95BA6C">
            <w:pPr>
              <w:pStyle w:val="14"/>
              <w:shd w:val="clear" w:color="auto" w:fill="auto"/>
              <w:jc w:val="center"/>
              <w:rPr>
                <w:rFonts w:ascii="宋体" w:hAnsi="宋体"/>
                <w:szCs w:val="21"/>
              </w:rPr>
            </w:pPr>
            <w:r>
              <w:rPr>
                <w:rFonts w:hint="eastAsia" w:ascii="宋体" w:hAnsi="宋体"/>
                <w:szCs w:val="21"/>
              </w:rPr>
              <w:t>5</w:t>
            </w:r>
          </w:p>
        </w:tc>
        <w:tc>
          <w:tcPr>
            <w:tcW w:w="4825" w:type="pct"/>
            <w:gridSpan w:val="3"/>
            <w:noWrap/>
            <w:vAlign w:val="center"/>
          </w:tcPr>
          <w:p w14:paraId="7E1D8724">
            <w:pPr>
              <w:ind w:left="57"/>
              <w:rPr>
                <w:rFonts w:ascii="宋体" w:hAnsi="宋体"/>
                <w:szCs w:val="21"/>
              </w:rPr>
            </w:pPr>
            <w:r>
              <w:rPr>
                <w:rFonts w:hint="eastAsia" w:ascii="宋体" w:hAnsi="宋体"/>
                <w:szCs w:val="21"/>
              </w:rPr>
              <w:t>▲排量≥2L</w:t>
            </w:r>
          </w:p>
        </w:tc>
      </w:tr>
      <w:tr w14:paraId="50A4C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33934EE0">
            <w:pPr>
              <w:pStyle w:val="14"/>
              <w:shd w:val="clear" w:color="auto" w:fill="auto"/>
              <w:jc w:val="center"/>
              <w:rPr>
                <w:rFonts w:ascii="宋体" w:hAnsi="宋体"/>
                <w:szCs w:val="21"/>
              </w:rPr>
            </w:pPr>
            <w:r>
              <w:rPr>
                <w:rFonts w:hint="eastAsia" w:ascii="宋体" w:hAnsi="宋体"/>
                <w:szCs w:val="21"/>
              </w:rPr>
              <w:t>6</w:t>
            </w:r>
          </w:p>
        </w:tc>
        <w:tc>
          <w:tcPr>
            <w:tcW w:w="4825" w:type="pct"/>
            <w:gridSpan w:val="3"/>
            <w:noWrap/>
            <w:vAlign w:val="center"/>
          </w:tcPr>
          <w:p w14:paraId="3545C509">
            <w:pPr>
              <w:ind w:left="57"/>
              <w:rPr>
                <w:rFonts w:ascii="宋体" w:hAnsi="宋体"/>
                <w:szCs w:val="21"/>
              </w:rPr>
            </w:pPr>
            <w:r>
              <w:rPr>
                <w:rFonts w:hint="eastAsia" w:ascii="宋体" w:hAnsi="宋体"/>
                <w:szCs w:val="21"/>
              </w:rPr>
              <w:t>▲变速器型式：手动MT</w:t>
            </w:r>
          </w:p>
        </w:tc>
      </w:tr>
      <w:tr w14:paraId="6B6F1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75" w:type="pct"/>
            <w:gridSpan w:val="2"/>
            <w:noWrap/>
            <w:vAlign w:val="center"/>
          </w:tcPr>
          <w:p w14:paraId="5C4EF47B">
            <w:pPr>
              <w:pStyle w:val="14"/>
              <w:shd w:val="clear" w:color="auto" w:fill="auto"/>
              <w:jc w:val="center"/>
              <w:rPr>
                <w:rFonts w:ascii="宋体" w:hAnsi="宋体"/>
                <w:szCs w:val="21"/>
              </w:rPr>
            </w:pPr>
            <w:r>
              <w:rPr>
                <w:rFonts w:hint="eastAsia" w:ascii="宋体" w:hAnsi="宋体"/>
                <w:szCs w:val="21"/>
              </w:rPr>
              <w:t>7</w:t>
            </w:r>
          </w:p>
        </w:tc>
        <w:tc>
          <w:tcPr>
            <w:tcW w:w="4825" w:type="pct"/>
            <w:gridSpan w:val="3"/>
            <w:noWrap/>
            <w:vAlign w:val="center"/>
          </w:tcPr>
          <w:p w14:paraId="5C05F404">
            <w:pPr>
              <w:ind w:left="57"/>
              <w:rPr>
                <w:rFonts w:ascii="宋体" w:hAnsi="宋体"/>
                <w:szCs w:val="21"/>
              </w:rPr>
            </w:pPr>
            <w:r>
              <w:rPr>
                <w:rFonts w:hint="eastAsia" w:ascii="宋体" w:hAnsi="宋体"/>
                <w:szCs w:val="21"/>
              </w:rPr>
              <w:t>▲接近角/离去角（º）≥18º/10º</w:t>
            </w:r>
          </w:p>
        </w:tc>
      </w:tr>
      <w:tr w14:paraId="4754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1F958D27">
            <w:pPr>
              <w:pStyle w:val="14"/>
              <w:shd w:val="clear" w:color="auto" w:fill="auto"/>
              <w:rPr>
                <w:rFonts w:ascii="宋体" w:hAnsi="宋体" w:cs="宋体"/>
                <w:szCs w:val="21"/>
              </w:rPr>
            </w:pPr>
            <w:r>
              <w:rPr>
                <w:rStyle w:val="15"/>
                <w:rFonts w:hint="default" w:ascii="宋体" w:hAnsi="宋体" w:eastAsia="宋体"/>
                <w:b/>
                <w:bCs/>
                <w:color w:val="auto"/>
                <w:szCs w:val="21"/>
              </w:rPr>
              <w:t>（二）底盘</w:t>
            </w:r>
          </w:p>
        </w:tc>
      </w:tr>
      <w:tr w14:paraId="3999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39" w:type="pct"/>
            <w:noWrap/>
            <w:vAlign w:val="center"/>
          </w:tcPr>
          <w:p w14:paraId="1DEB52DE">
            <w:pPr>
              <w:pStyle w:val="14"/>
              <w:shd w:val="clear" w:color="auto" w:fill="auto"/>
              <w:jc w:val="center"/>
              <w:rPr>
                <w:rFonts w:ascii="宋体" w:hAnsi="宋体" w:cs="宋体"/>
                <w:szCs w:val="21"/>
              </w:rPr>
            </w:pPr>
            <w:r>
              <w:rPr>
                <w:rFonts w:ascii="宋体" w:hAnsi="宋体" w:cs="宋体"/>
                <w:szCs w:val="21"/>
              </w:rPr>
              <w:t>1</w:t>
            </w:r>
          </w:p>
        </w:tc>
        <w:tc>
          <w:tcPr>
            <w:tcW w:w="4861" w:type="pct"/>
            <w:gridSpan w:val="4"/>
            <w:noWrap/>
            <w:vAlign w:val="center"/>
          </w:tcPr>
          <w:p w14:paraId="67D6E198">
            <w:pPr>
              <w:ind w:left="57"/>
              <w:rPr>
                <w:rFonts w:ascii="宋体" w:hAnsi="宋体" w:cs="宋体"/>
                <w:szCs w:val="21"/>
              </w:rPr>
            </w:pPr>
            <w:r>
              <w:rPr>
                <w:rFonts w:ascii="宋体" w:hAnsi="宋体"/>
                <w:szCs w:val="21"/>
              </w:rPr>
              <w:t>▲</w:t>
            </w:r>
            <w:r>
              <w:rPr>
                <w:rFonts w:hint="eastAsia" w:ascii="宋体" w:hAnsi="宋体" w:cs="宋体"/>
                <w:szCs w:val="21"/>
              </w:rPr>
              <w:t>发动机最大功率≥80kw</w:t>
            </w:r>
          </w:p>
        </w:tc>
      </w:tr>
      <w:tr w14:paraId="02A5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7" w:hRule="atLeast"/>
          <w:jc w:val="center"/>
        </w:trPr>
        <w:tc>
          <w:tcPr>
            <w:tcW w:w="139" w:type="pct"/>
            <w:noWrap/>
            <w:vAlign w:val="center"/>
          </w:tcPr>
          <w:p w14:paraId="4C2A5214">
            <w:pPr>
              <w:pStyle w:val="14"/>
              <w:shd w:val="clear" w:color="auto" w:fill="auto"/>
              <w:jc w:val="center"/>
              <w:rPr>
                <w:rFonts w:ascii="宋体" w:hAnsi="宋体" w:cs="宋体"/>
                <w:szCs w:val="21"/>
              </w:rPr>
            </w:pPr>
            <w:r>
              <w:rPr>
                <w:rFonts w:hint="eastAsia" w:ascii="宋体" w:hAnsi="宋体" w:cs="宋体"/>
                <w:szCs w:val="21"/>
              </w:rPr>
              <w:t>2</w:t>
            </w:r>
          </w:p>
        </w:tc>
        <w:tc>
          <w:tcPr>
            <w:tcW w:w="4861" w:type="pct"/>
            <w:gridSpan w:val="4"/>
            <w:noWrap/>
            <w:vAlign w:val="center"/>
          </w:tcPr>
          <w:p w14:paraId="0E9B9B64">
            <w:pPr>
              <w:ind w:left="57"/>
              <w:rPr>
                <w:rFonts w:ascii="宋体" w:hAnsi="宋体" w:cs="宋体"/>
                <w:szCs w:val="21"/>
              </w:rPr>
            </w:pPr>
            <w:r>
              <w:rPr>
                <w:rFonts w:ascii="宋体" w:hAnsi="宋体"/>
                <w:szCs w:val="21"/>
              </w:rPr>
              <w:t>▲</w:t>
            </w:r>
            <w:r>
              <w:rPr>
                <w:rFonts w:hint="eastAsia" w:ascii="宋体" w:hAnsi="宋体" w:cs="宋体"/>
                <w:szCs w:val="21"/>
              </w:rPr>
              <w:t>比功率≥10kw/t</w:t>
            </w:r>
          </w:p>
        </w:tc>
      </w:tr>
      <w:tr w14:paraId="7A2D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39" w:type="pct"/>
            <w:noWrap/>
            <w:vAlign w:val="center"/>
          </w:tcPr>
          <w:p w14:paraId="0F42F157">
            <w:pPr>
              <w:pStyle w:val="14"/>
              <w:shd w:val="clear" w:color="auto" w:fill="auto"/>
              <w:jc w:val="center"/>
              <w:rPr>
                <w:rFonts w:ascii="宋体" w:hAnsi="宋体" w:cs="宋体"/>
                <w:szCs w:val="21"/>
              </w:rPr>
            </w:pPr>
            <w:r>
              <w:rPr>
                <w:rFonts w:hint="eastAsia" w:ascii="宋体" w:hAnsi="宋体" w:cs="宋体"/>
                <w:szCs w:val="21"/>
              </w:rPr>
              <w:t>3</w:t>
            </w:r>
          </w:p>
        </w:tc>
        <w:tc>
          <w:tcPr>
            <w:tcW w:w="4861" w:type="pct"/>
            <w:gridSpan w:val="4"/>
            <w:noWrap/>
            <w:vAlign w:val="center"/>
          </w:tcPr>
          <w:p w14:paraId="16313E3F">
            <w:pPr>
              <w:ind w:left="57"/>
              <w:rPr>
                <w:rFonts w:ascii="宋体" w:hAnsi="宋体"/>
                <w:szCs w:val="21"/>
              </w:rPr>
            </w:pPr>
            <w:r>
              <w:rPr>
                <w:rFonts w:hint="eastAsia" w:ascii="宋体" w:hAnsi="宋体"/>
                <w:szCs w:val="21"/>
              </w:rPr>
              <w:t>▲轴距≥3000mm</w:t>
            </w:r>
          </w:p>
        </w:tc>
      </w:tr>
      <w:tr w14:paraId="35C5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39" w:type="pct"/>
            <w:noWrap/>
            <w:vAlign w:val="center"/>
          </w:tcPr>
          <w:p w14:paraId="48E155EF">
            <w:pPr>
              <w:pStyle w:val="14"/>
              <w:shd w:val="clear" w:color="auto" w:fill="auto"/>
              <w:jc w:val="center"/>
              <w:rPr>
                <w:rFonts w:ascii="宋体" w:hAnsi="宋体" w:cs="宋体"/>
                <w:szCs w:val="21"/>
              </w:rPr>
            </w:pPr>
            <w:r>
              <w:rPr>
                <w:rFonts w:hint="eastAsia" w:ascii="宋体" w:hAnsi="宋体" w:cs="宋体"/>
                <w:szCs w:val="21"/>
              </w:rPr>
              <w:t>4</w:t>
            </w:r>
          </w:p>
        </w:tc>
        <w:tc>
          <w:tcPr>
            <w:tcW w:w="4861" w:type="pct"/>
            <w:gridSpan w:val="4"/>
            <w:noWrap/>
            <w:vAlign w:val="center"/>
          </w:tcPr>
          <w:p w14:paraId="07AA928F">
            <w:pPr>
              <w:ind w:left="57"/>
              <w:rPr>
                <w:rFonts w:ascii="宋体" w:hAnsi="宋体"/>
                <w:szCs w:val="21"/>
              </w:rPr>
            </w:pPr>
            <w:r>
              <w:rPr>
                <w:rFonts w:hint="eastAsia" w:ascii="宋体" w:hAnsi="宋体"/>
                <w:szCs w:val="21"/>
              </w:rPr>
              <w:t>▲底盘：国VI</w:t>
            </w:r>
          </w:p>
        </w:tc>
      </w:tr>
      <w:tr w14:paraId="7E29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6AFCC54A">
            <w:pPr>
              <w:pStyle w:val="14"/>
              <w:shd w:val="clear" w:color="auto" w:fill="auto"/>
              <w:rPr>
                <w:rFonts w:ascii="宋体" w:hAnsi="宋体" w:cs="宋体"/>
                <w:szCs w:val="21"/>
              </w:rPr>
            </w:pPr>
            <w:r>
              <w:rPr>
                <w:rStyle w:val="15"/>
                <w:rFonts w:hint="default" w:ascii="宋体" w:hAnsi="宋体" w:eastAsia="宋体"/>
                <w:b/>
                <w:bCs/>
                <w:color w:val="auto"/>
                <w:szCs w:val="21"/>
              </w:rPr>
              <w:t>（三）驾驶室及车箱</w:t>
            </w:r>
          </w:p>
        </w:tc>
      </w:tr>
      <w:tr w14:paraId="3FBE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62" w:type="pct"/>
            <w:gridSpan w:val="3"/>
            <w:noWrap/>
            <w:vAlign w:val="center"/>
          </w:tcPr>
          <w:p w14:paraId="1CCF2070">
            <w:pPr>
              <w:pStyle w:val="14"/>
              <w:shd w:val="clear" w:color="auto" w:fill="auto"/>
              <w:jc w:val="center"/>
              <w:rPr>
                <w:rFonts w:ascii="宋体" w:hAnsi="宋体" w:cs="宋体"/>
                <w:szCs w:val="21"/>
              </w:rPr>
            </w:pPr>
            <w:r>
              <w:rPr>
                <w:rFonts w:hint="eastAsia" w:ascii="宋体" w:hAnsi="宋体" w:cs="宋体"/>
                <w:szCs w:val="21"/>
              </w:rPr>
              <w:t>1</w:t>
            </w:r>
          </w:p>
        </w:tc>
        <w:tc>
          <w:tcPr>
            <w:tcW w:w="4738" w:type="pct"/>
            <w:gridSpan w:val="2"/>
            <w:noWrap/>
            <w:vAlign w:val="center"/>
          </w:tcPr>
          <w:p w14:paraId="511C24DB">
            <w:pPr>
              <w:pStyle w:val="3"/>
              <w:spacing w:after="0"/>
              <w:ind w:left="57"/>
              <w:rPr>
                <w:rFonts w:ascii="宋体" w:hAnsi="宋体" w:cs="宋体"/>
                <w:szCs w:val="21"/>
              </w:rPr>
            </w:pPr>
            <w:r>
              <w:rPr>
                <w:rFonts w:hint="eastAsia" w:ascii="宋体" w:hAnsi="宋体" w:cs="宋体"/>
                <w:szCs w:val="21"/>
              </w:rPr>
              <w:t>车箱材质：本体主骨架为钢制型材。</w:t>
            </w:r>
          </w:p>
        </w:tc>
      </w:tr>
      <w:tr w14:paraId="35F3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62" w:type="pct"/>
            <w:gridSpan w:val="3"/>
            <w:noWrap/>
            <w:vAlign w:val="center"/>
          </w:tcPr>
          <w:p w14:paraId="12EFA72C">
            <w:pPr>
              <w:pStyle w:val="14"/>
              <w:shd w:val="clear" w:color="auto" w:fill="auto"/>
              <w:jc w:val="center"/>
              <w:rPr>
                <w:rFonts w:ascii="宋体" w:hAnsi="宋体" w:cs="宋体"/>
                <w:szCs w:val="21"/>
              </w:rPr>
            </w:pPr>
            <w:r>
              <w:rPr>
                <w:rFonts w:hint="eastAsia" w:ascii="宋体" w:hAnsi="宋体" w:cs="宋体"/>
                <w:szCs w:val="21"/>
              </w:rPr>
              <w:t>2</w:t>
            </w:r>
          </w:p>
        </w:tc>
        <w:tc>
          <w:tcPr>
            <w:tcW w:w="4738" w:type="pct"/>
            <w:gridSpan w:val="2"/>
            <w:noWrap/>
            <w:vAlign w:val="center"/>
          </w:tcPr>
          <w:p w14:paraId="0EECEFF2">
            <w:pPr>
              <w:pStyle w:val="3"/>
              <w:spacing w:after="0"/>
              <w:ind w:left="57"/>
              <w:rPr>
                <w:rFonts w:ascii="宋体" w:hAnsi="宋体" w:cs="宋体"/>
                <w:szCs w:val="21"/>
              </w:rPr>
            </w:pPr>
            <w:r>
              <w:rPr>
                <w:rFonts w:hint="eastAsia" w:ascii="宋体" w:hAnsi="宋体" w:cs="宋体"/>
                <w:szCs w:val="21"/>
              </w:rPr>
              <w:t>车箱结构：</w:t>
            </w:r>
            <w:r>
              <w:rPr>
                <w:rFonts w:ascii="宋体" w:hAnsi="宋体" w:cs="宋体"/>
                <w:szCs w:val="21"/>
              </w:rPr>
              <w:t>采用</w:t>
            </w:r>
            <w:r>
              <w:rPr>
                <w:rFonts w:hint="eastAsia" w:ascii="宋体" w:hAnsi="宋体" w:cs="宋体"/>
                <w:szCs w:val="21"/>
              </w:rPr>
              <w:t>副大梁与框架一体式结构,</w:t>
            </w:r>
            <w:r>
              <w:rPr>
                <w:rFonts w:ascii="宋体" w:hAnsi="宋体" w:cs="宋体"/>
                <w:szCs w:val="21"/>
              </w:rPr>
              <w:t>钢制框架和铝合金型材专用连接件结构，</w:t>
            </w:r>
            <w:r>
              <w:rPr>
                <w:rFonts w:hint="eastAsia" w:ascii="宋体" w:hAnsi="宋体" w:cs="宋体"/>
                <w:szCs w:val="21"/>
              </w:rPr>
              <w:t>空间设计合理.器材布置紧凑，空间利用率高。</w:t>
            </w:r>
            <w:r>
              <w:rPr>
                <w:rFonts w:ascii="宋体" w:hAnsi="宋体" w:cs="宋体"/>
                <w:szCs w:val="21"/>
              </w:rPr>
              <w:t>对车厢内部需要经常检测的部件，在适当部位加装有活门，其他需要进入车内部检查和维修的地方也加装有敞开或有可移动的板件</w:t>
            </w:r>
            <w:r>
              <w:rPr>
                <w:rFonts w:hint="eastAsia" w:ascii="宋体" w:hAnsi="宋体" w:cs="宋体"/>
                <w:szCs w:val="21"/>
              </w:rPr>
              <w:t>。</w:t>
            </w:r>
          </w:p>
          <w:p w14:paraId="32BDC9CB">
            <w:pPr>
              <w:pStyle w:val="3"/>
              <w:spacing w:after="0"/>
              <w:ind w:left="57"/>
              <w:rPr>
                <w:rFonts w:ascii="宋体" w:hAnsi="宋体" w:cs="宋体"/>
                <w:szCs w:val="21"/>
              </w:rPr>
            </w:pPr>
            <w:r>
              <w:rPr>
                <w:rFonts w:hint="eastAsia" w:ascii="宋体" w:hAnsi="宋体" w:cs="宋体"/>
                <w:szCs w:val="21"/>
              </w:rPr>
              <w:t>翻板踏脚：钢框架覆铝合金花纹板。</w:t>
            </w:r>
          </w:p>
        </w:tc>
      </w:tr>
      <w:tr w14:paraId="0009C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4DACFA43">
            <w:pPr>
              <w:pStyle w:val="14"/>
              <w:shd w:val="clear" w:color="auto" w:fill="auto"/>
              <w:rPr>
                <w:rFonts w:ascii="宋体" w:hAnsi="宋体" w:cs="宋体"/>
                <w:szCs w:val="21"/>
              </w:rPr>
            </w:pPr>
            <w:r>
              <w:rPr>
                <w:rStyle w:val="15"/>
                <w:rFonts w:hint="default" w:ascii="宋体" w:hAnsi="宋体" w:eastAsia="宋体"/>
                <w:b/>
                <w:bCs/>
                <w:color w:val="auto"/>
                <w:szCs w:val="21"/>
              </w:rPr>
              <w:t>（四）保障系统</w:t>
            </w:r>
          </w:p>
        </w:tc>
      </w:tr>
      <w:tr w14:paraId="521B1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62" w:type="pct"/>
            <w:gridSpan w:val="3"/>
            <w:noWrap/>
            <w:vAlign w:val="center"/>
          </w:tcPr>
          <w:p w14:paraId="132E0B64">
            <w:pPr>
              <w:pStyle w:val="14"/>
              <w:shd w:val="clear" w:color="auto" w:fill="auto"/>
              <w:jc w:val="center"/>
              <w:rPr>
                <w:rFonts w:ascii="宋体" w:hAnsi="宋体" w:cs="宋体"/>
                <w:szCs w:val="21"/>
              </w:rPr>
            </w:pPr>
            <w:r>
              <w:rPr>
                <w:rFonts w:hint="eastAsia" w:ascii="宋体" w:hAnsi="宋体" w:cs="宋体"/>
                <w:szCs w:val="21"/>
              </w:rPr>
              <w:t>1</w:t>
            </w:r>
          </w:p>
        </w:tc>
        <w:tc>
          <w:tcPr>
            <w:tcW w:w="4738" w:type="pct"/>
            <w:gridSpan w:val="2"/>
            <w:noWrap/>
            <w:vAlign w:val="center"/>
          </w:tcPr>
          <w:p w14:paraId="6877AC55">
            <w:pPr>
              <w:rPr>
                <w:rFonts w:ascii="宋体" w:hAnsi="宋体" w:cs="宋体"/>
                <w:szCs w:val="21"/>
              </w:rPr>
            </w:pPr>
            <w:r>
              <w:rPr>
                <w:rFonts w:hint="eastAsia" w:ascii="宋体" w:hAnsi="宋体" w:cs="宋体"/>
                <w:szCs w:val="21"/>
              </w:rPr>
              <w:t>额定功率：≥8kW，采用新型智能轻混发电，也可以采用家用220V外接电源，车身自带航空插头，带≥50m外接电源线加卷线盘一套</w:t>
            </w:r>
          </w:p>
        </w:tc>
      </w:tr>
      <w:tr w14:paraId="24E5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262" w:type="pct"/>
            <w:gridSpan w:val="3"/>
            <w:noWrap/>
            <w:vAlign w:val="center"/>
          </w:tcPr>
          <w:p w14:paraId="74851CA2">
            <w:pPr>
              <w:pStyle w:val="14"/>
              <w:shd w:val="clear" w:color="auto" w:fill="auto"/>
              <w:jc w:val="center"/>
              <w:rPr>
                <w:rFonts w:ascii="宋体" w:hAnsi="宋体" w:cs="宋体"/>
                <w:szCs w:val="21"/>
              </w:rPr>
            </w:pPr>
            <w:r>
              <w:rPr>
                <w:rFonts w:hint="eastAsia" w:ascii="宋体" w:hAnsi="宋体" w:cs="宋体"/>
                <w:szCs w:val="21"/>
              </w:rPr>
              <w:t>2</w:t>
            </w:r>
          </w:p>
        </w:tc>
        <w:tc>
          <w:tcPr>
            <w:tcW w:w="4738" w:type="pct"/>
            <w:gridSpan w:val="2"/>
            <w:noWrap/>
            <w:vAlign w:val="center"/>
          </w:tcPr>
          <w:p w14:paraId="31A8698A">
            <w:pPr>
              <w:rPr>
                <w:rFonts w:ascii="宋体" w:hAnsi="宋体" w:cs="宋体"/>
                <w:szCs w:val="21"/>
              </w:rPr>
            </w:pPr>
            <w:r>
              <w:rPr>
                <w:rFonts w:hint="eastAsia" w:ascii="宋体" w:hAnsi="宋体"/>
                <w:szCs w:val="21"/>
              </w:rPr>
              <w:t>▲</w:t>
            </w:r>
            <w:r>
              <w:rPr>
                <w:rFonts w:hint="eastAsia" w:ascii="宋体" w:hAnsi="宋体" w:cs="宋体"/>
                <w:szCs w:val="21"/>
              </w:rPr>
              <w:t>配备 119 报警体验系统、厨房火灾演示系统、电气线路过载火灾演示系统、建筑烟雾传播演示系统、消防自动化喷淋演示系统等宣教演示系统。</w:t>
            </w:r>
          </w:p>
        </w:tc>
      </w:tr>
      <w:tr w14:paraId="4208A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5000" w:type="pct"/>
            <w:gridSpan w:val="5"/>
            <w:noWrap/>
            <w:vAlign w:val="center"/>
          </w:tcPr>
          <w:p w14:paraId="188BB0C1">
            <w:pPr>
              <w:pStyle w:val="14"/>
              <w:shd w:val="clear" w:color="auto" w:fill="auto"/>
              <w:rPr>
                <w:rFonts w:ascii="宋体" w:hAnsi="宋体" w:cs="宋体"/>
                <w:szCs w:val="21"/>
              </w:rPr>
            </w:pPr>
            <w:r>
              <w:rPr>
                <w:rStyle w:val="15"/>
                <w:rFonts w:hint="default" w:ascii="宋体" w:hAnsi="宋体" w:eastAsia="宋体"/>
                <w:b/>
                <w:bCs/>
                <w:szCs w:val="21"/>
              </w:rPr>
              <w:t>（五）LED大屏宣传视频播放系统</w:t>
            </w:r>
          </w:p>
        </w:tc>
      </w:tr>
      <w:tr w14:paraId="7FC7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3" w:hRule="atLeast"/>
          <w:jc w:val="center"/>
        </w:trPr>
        <w:tc>
          <w:tcPr>
            <w:tcW w:w="662" w:type="pct"/>
            <w:gridSpan w:val="4"/>
            <w:noWrap/>
            <w:vAlign w:val="center"/>
          </w:tcPr>
          <w:p w14:paraId="601A0743">
            <w:pPr>
              <w:pStyle w:val="14"/>
              <w:shd w:val="clear" w:color="auto" w:fill="auto"/>
              <w:jc w:val="center"/>
              <w:rPr>
                <w:rFonts w:ascii="宋体" w:hAnsi="宋体" w:cs="宋体"/>
                <w:szCs w:val="21"/>
              </w:rPr>
            </w:pPr>
            <w:r>
              <w:rPr>
                <w:rFonts w:hint="eastAsia" w:ascii="宋体" w:hAnsi="宋体" w:cs="宋体"/>
                <w:szCs w:val="21"/>
              </w:rPr>
              <w:t>1</w:t>
            </w:r>
          </w:p>
        </w:tc>
        <w:tc>
          <w:tcPr>
            <w:tcW w:w="4338" w:type="pct"/>
            <w:noWrap/>
            <w:vAlign w:val="center"/>
          </w:tcPr>
          <w:p w14:paraId="61958FD9">
            <w:pPr>
              <w:ind w:left="57"/>
              <w:rPr>
                <w:rFonts w:ascii="宋体" w:hAnsi="宋体" w:cs="宋体"/>
                <w:szCs w:val="21"/>
              </w:rPr>
            </w:pPr>
            <w:r>
              <w:rPr>
                <w:rFonts w:hint="eastAsia" w:ascii="宋体" w:hAnsi="宋体" w:cs="宋体"/>
                <w:szCs w:val="21"/>
              </w:rPr>
              <w:t>车体单侧为 P6高清LED大屏幕；</w:t>
            </w:r>
          </w:p>
          <w:p w14:paraId="41BC50FF">
            <w:pPr>
              <w:ind w:left="57"/>
            </w:pPr>
            <w:r>
              <w:rPr>
                <w:rFonts w:hint="eastAsia" w:ascii="宋体" w:hAnsi="宋体" w:cs="宋体"/>
                <w:szCs w:val="21"/>
              </w:rPr>
              <w:t>车体另外一侧为单色条屏和灯箱广告的结合，内设滚动式装置，可完成5副图片的切换；</w:t>
            </w:r>
          </w:p>
          <w:p w14:paraId="707C2651">
            <w:pPr>
              <w:ind w:left="57"/>
              <w:rPr>
                <w:rFonts w:ascii="宋体" w:hAnsi="宋体" w:cs="宋体"/>
                <w:szCs w:val="21"/>
              </w:rPr>
            </w:pPr>
            <w:r>
              <w:rPr>
                <w:rFonts w:hint="eastAsia" w:ascii="宋体" w:hAnsi="宋体" w:cs="宋体"/>
                <w:szCs w:val="21"/>
              </w:rPr>
              <w:t>屏幕尺寸</w:t>
            </w:r>
            <w:r>
              <w:rPr>
                <w:rFonts w:hint="eastAsia" w:ascii="宋体" w:hAnsi="宋体"/>
                <w:szCs w:val="21"/>
              </w:rPr>
              <w:t>≥</w:t>
            </w:r>
            <w:r>
              <w:rPr>
                <w:rFonts w:hint="eastAsia" w:ascii="宋体" w:hAnsi="宋体" w:cs="宋体"/>
                <w:szCs w:val="21"/>
              </w:rPr>
              <w:t>3400mm*1700mm；</w:t>
            </w:r>
          </w:p>
          <w:p w14:paraId="65D6EFE7">
            <w:pPr>
              <w:ind w:left="57"/>
              <w:rPr>
                <w:rFonts w:ascii="宋体" w:hAnsi="宋体" w:cs="宋体"/>
                <w:szCs w:val="21"/>
              </w:rPr>
            </w:pPr>
            <w:r>
              <w:rPr>
                <w:rFonts w:hint="eastAsia" w:ascii="宋体" w:hAnsi="宋体" w:cs="宋体"/>
                <w:szCs w:val="21"/>
              </w:rPr>
              <w:t>亮度</w:t>
            </w:r>
            <w:r>
              <w:rPr>
                <w:rFonts w:hint="eastAsia" w:ascii="宋体" w:hAnsi="宋体"/>
                <w:szCs w:val="21"/>
              </w:rPr>
              <w:t>≥</w:t>
            </w:r>
            <w:r>
              <w:rPr>
                <w:rFonts w:hint="eastAsia" w:ascii="宋体" w:hAnsi="宋体" w:cs="宋体"/>
                <w:szCs w:val="21"/>
              </w:rPr>
              <w:t>4500</w:t>
            </w:r>
            <w:r>
              <w:rPr>
                <w:rFonts w:hint="eastAsia" w:ascii="宋体" w:hAnsi="宋体" w:cs="宋体"/>
                <w:sz w:val="24"/>
              </w:rPr>
              <w:t>Nit</w:t>
            </w:r>
            <w:r>
              <w:rPr>
                <w:rFonts w:hint="eastAsia" w:ascii="宋体" w:hAnsi="宋体" w:cs="宋体"/>
                <w:szCs w:val="21"/>
              </w:rPr>
              <w:t>；</w:t>
            </w:r>
          </w:p>
          <w:p w14:paraId="01BE6224">
            <w:pPr>
              <w:ind w:left="57"/>
              <w:rPr>
                <w:rFonts w:ascii="宋体" w:hAnsi="宋体" w:cs="宋体"/>
                <w:szCs w:val="21"/>
              </w:rPr>
            </w:pPr>
            <w:r>
              <w:rPr>
                <w:rFonts w:hint="eastAsia" w:ascii="宋体" w:hAnsi="宋体" w:cs="宋体"/>
                <w:szCs w:val="21"/>
              </w:rPr>
              <w:t>尾部加装p10单色调屏，屏幕尺寸</w:t>
            </w:r>
            <w:r>
              <w:rPr>
                <w:rFonts w:hint="eastAsia" w:ascii="宋体" w:hAnsi="宋体"/>
                <w:szCs w:val="21"/>
              </w:rPr>
              <w:t>≥</w:t>
            </w:r>
            <w:r>
              <w:rPr>
                <w:rFonts w:hint="eastAsia" w:ascii="宋体" w:hAnsi="宋体" w:cs="宋体"/>
                <w:szCs w:val="21"/>
              </w:rPr>
              <w:t>1200*1400mm，可以滚动播放各种文字形式广告宣传；</w:t>
            </w:r>
          </w:p>
        </w:tc>
      </w:tr>
      <w:tr w14:paraId="1D7C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662" w:type="pct"/>
            <w:gridSpan w:val="4"/>
            <w:noWrap/>
            <w:vAlign w:val="center"/>
          </w:tcPr>
          <w:p w14:paraId="27FD8716">
            <w:pPr>
              <w:pStyle w:val="14"/>
              <w:shd w:val="clear" w:color="auto" w:fill="auto"/>
              <w:rPr>
                <w:rFonts w:ascii="宋体" w:hAnsi="宋体" w:cs="宋体"/>
                <w:szCs w:val="21"/>
              </w:rPr>
            </w:pPr>
            <w:r>
              <w:rPr>
                <w:rStyle w:val="15"/>
                <w:rFonts w:hint="default" w:ascii="宋体" w:hAnsi="宋体" w:eastAsia="宋体"/>
                <w:b/>
                <w:bCs/>
                <w:szCs w:val="21"/>
              </w:rPr>
              <w:t>（六）</w:t>
            </w:r>
          </w:p>
        </w:tc>
        <w:tc>
          <w:tcPr>
            <w:tcW w:w="4338" w:type="pct"/>
            <w:noWrap/>
            <w:vAlign w:val="center"/>
          </w:tcPr>
          <w:p w14:paraId="443417A8">
            <w:pPr>
              <w:pStyle w:val="14"/>
              <w:shd w:val="clear" w:color="auto" w:fill="auto"/>
              <w:rPr>
                <w:rFonts w:ascii="宋体" w:hAnsi="宋体" w:cs="宋体"/>
                <w:szCs w:val="21"/>
              </w:rPr>
            </w:pPr>
            <w:r>
              <w:rPr>
                <w:rFonts w:hint="eastAsia" w:ascii="宋体" w:hAnsi="宋体" w:cs="宋体"/>
                <w:b/>
                <w:bCs/>
                <w:szCs w:val="21"/>
              </w:rPr>
              <w:t>音频播放系统</w:t>
            </w:r>
          </w:p>
        </w:tc>
      </w:tr>
      <w:tr w14:paraId="66E3A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465C29D9">
            <w:pPr>
              <w:pStyle w:val="14"/>
              <w:shd w:val="clear" w:color="auto" w:fill="auto"/>
              <w:jc w:val="center"/>
              <w:rPr>
                <w:rFonts w:ascii="宋体" w:hAnsi="宋体" w:cs="宋体"/>
                <w:szCs w:val="21"/>
              </w:rPr>
            </w:pPr>
            <w:r>
              <w:rPr>
                <w:rFonts w:hint="eastAsia" w:ascii="宋体" w:hAnsi="宋体" w:cs="宋体"/>
                <w:szCs w:val="21"/>
              </w:rPr>
              <w:t>1</w:t>
            </w:r>
          </w:p>
        </w:tc>
        <w:tc>
          <w:tcPr>
            <w:tcW w:w="4825" w:type="pct"/>
            <w:gridSpan w:val="3"/>
            <w:noWrap/>
            <w:vAlign w:val="center"/>
          </w:tcPr>
          <w:p w14:paraId="58BE53A1">
            <w:pPr>
              <w:ind w:left="57"/>
              <w:rPr>
                <w:rFonts w:ascii="宋体" w:hAnsi="宋体" w:cs="宋体"/>
                <w:szCs w:val="21"/>
              </w:rPr>
            </w:pPr>
            <w:r>
              <w:rPr>
                <w:rFonts w:hint="eastAsia" w:ascii="宋体" w:hAnsi="宋体" w:cs="宋体"/>
                <w:szCs w:val="21"/>
              </w:rPr>
              <w:t>多媒体视频同步控制系统，车载显示器</w:t>
            </w:r>
            <w:r>
              <w:rPr>
                <w:rFonts w:hint="eastAsia" w:ascii="宋体" w:hAnsi="宋体"/>
                <w:szCs w:val="21"/>
              </w:rPr>
              <w:t>≥</w:t>
            </w:r>
            <w:r>
              <w:rPr>
                <w:rFonts w:ascii="宋体" w:hAnsi="宋体" w:cs="宋体"/>
                <w:szCs w:val="21"/>
              </w:rPr>
              <w:t>17</w:t>
            </w:r>
            <w:r>
              <w:rPr>
                <w:rFonts w:hint="eastAsia" w:ascii="宋体" w:hAnsi="宋体" w:cs="宋体"/>
                <w:szCs w:val="21"/>
              </w:rPr>
              <w:t>寸，工业控制机，内存</w:t>
            </w:r>
            <w:r>
              <w:rPr>
                <w:rFonts w:hint="eastAsia" w:ascii="宋体" w:hAnsi="宋体"/>
                <w:szCs w:val="21"/>
              </w:rPr>
              <w:t>≥</w:t>
            </w:r>
            <w:r>
              <w:rPr>
                <w:rFonts w:ascii="宋体" w:hAnsi="宋体" w:cs="宋体"/>
                <w:szCs w:val="21"/>
              </w:rPr>
              <w:t>2G</w:t>
            </w:r>
            <w:r>
              <w:rPr>
                <w:rFonts w:hint="eastAsia" w:ascii="宋体" w:hAnsi="宋体" w:cs="宋体"/>
                <w:szCs w:val="21"/>
              </w:rPr>
              <w:t>，硬盘</w:t>
            </w:r>
            <w:r>
              <w:rPr>
                <w:rFonts w:hint="eastAsia" w:ascii="宋体" w:hAnsi="宋体"/>
                <w:szCs w:val="21"/>
              </w:rPr>
              <w:t>≥</w:t>
            </w:r>
            <w:r>
              <w:rPr>
                <w:rFonts w:hint="eastAsia" w:ascii="宋体" w:hAnsi="宋体" w:cs="宋体"/>
                <w:szCs w:val="21"/>
              </w:rPr>
              <w:t>128</w:t>
            </w:r>
            <w:r>
              <w:rPr>
                <w:rFonts w:ascii="宋体" w:hAnsi="宋体" w:cs="宋体"/>
                <w:szCs w:val="21"/>
              </w:rPr>
              <w:t>G</w:t>
            </w:r>
            <w:r>
              <w:rPr>
                <w:rFonts w:hint="eastAsia" w:ascii="宋体" w:hAnsi="宋体" w:cs="宋体"/>
                <w:szCs w:val="21"/>
              </w:rPr>
              <w:t>，有线键盘鼠标。</w:t>
            </w:r>
          </w:p>
          <w:p w14:paraId="189B339D">
            <w:pPr>
              <w:ind w:left="57"/>
              <w:rPr>
                <w:rFonts w:ascii="宋体" w:hAnsi="宋体" w:cs="宋体"/>
                <w:szCs w:val="21"/>
              </w:rPr>
            </w:pPr>
            <w:r>
              <w:rPr>
                <w:rFonts w:hint="eastAsia" w:ascii="宋体" w:hAnsi="宋体"/>
                <w:szCs w:val="21"/>
              </w:rPr>
              <w:t>≥</w:t>
            </w:r>
            <w:r>
              <w:rPr>
                <w:rFonts w:ascii="宋体" w:hAnsi="宋体" w:cs="宋体"/>
                <w:szCs w:val="21"/>
              </w:rPr>
              <w:t>200W</w:t>
            </w:r>
            <w:r>
              <w:rPr>
                <w:rFonts w:hint="eastAsia" w:ascii="宋体" w:hAnsi="宋体" w:cs="宋体"/>
                <w:szCs w:val="21"/>
              </w:rPr>
              <w:t>功率放大器，配备话筒。</w:t>
            </w:r>
          </w:p>
          <w:p w14:paraId="1517C5A3">
            <w:pPr>
              <w:ind w:left="57"/>
              <w:rPr>
                <w:rFonts w:ascii="宋体" w:hAnsi="宋体" w:cs="宋体"/>
                <w:szCs w:val="21"/>
              </w:rPr>
            </w:pPr>
            <w:r>
              <w:rPr>
                <w:rFonts w:hint="eastAsia" w:ascii="宋体" w:hAnsi="宋体" w:cs="宋体"/>
                <w:szCs w:val="21"/>
              </w:rPr>
              <w:t>车载专用高品质音箱2个。</w:t>
            </w:r>
          </w:p>
          <w:p w14:paraId="4C05A926">
            <w:pPr>
              <w:widowControl/>
              <w:rPr>
                <w:rFonts w:ascii="宋体" w:hAnsi="宋体" w:cs="宋体"/>
                <w:szCs w:val="21"/>
                <w:lang w:val="zh-CN"/>
              </w:rPr>
            </w:pPr>
            <w:r>
              <w:rPr>
                <w:rFonts w:hint="eastAsia" w:ascii="宋体" w:hAnsi="宋体" w:cs="宋体"/>
                <w:szCs w:val="21"/>
                <w:lang w:val="zh-CN"/>
              </w:rPr>
              <w:t>专用机柜：</w:t>
            </w:r>
          </w:p>
          <w:p w14:paraId="1036F3B8">
            <w:pPr>
              <w:widowControl/>
              <w:rPr>
                <w:rFonts w:ascii="宋体" w:hAnsi="宋体" w:cs="宋体"/>
                <w:szCs w:val="21"/>
                <w:lang w:val="zh-CN"/>
              </w:rPr>
            </w:pPr>
            <w:r>
              <w:rPr>
                <w:rFonts w:hint="eastAsia" w:ascii="宋体" w:hAnsi="宋体" w:cs="宋体"/>
                <w:szCs w:val="21"/>
                <w:lang w:val="zh-CN"/>
              </w:rPr>
              <w:t>根据设备尺寸和车厢内部空间，采用标准机柜集成各宣传模块后台管</w:t>
            </w:r>
          </w:p>
          <w:p w14:paraId="27309650">
            <w:pPr>
              <w:widowControl/>
              <w:rPr>
                <w:rFonts w:ascii="宋体" w:hAnsi="宋体" w:cs="宋体"/>
                <w:szCs w:val="21"/>
                <w:lang w:val="zh-CN"/>
              </w:rPr>
            </w:pPr>
            <w:r>
              <w:rPr>
                <w:rFonts w:hint="eastAsia" w:ascii="宋体" w:hAnsi="宋体" w:cs="宋体"/>
                <w:szCs w:val="21"/>
                <w:lang w:val="zh-CN"/>
              </w:rPr>
              <w:t>理系统并集中控制，保障设备供电、音视频输入与输出、导播切换、</w:t>
            </w:r>
          </w:p>
          <w:p w14:paraId="0E0344F2">
            <w:pPr>
              <w:widowControl/>
              <w:rPr>
                <w:rFonts w:ascii="宋体" w:hAnsi="宋体" w:cs="宋体"/>
                <w:szCs w:val="21"/>
              </w:rPr>
            </w:pPr>
            <w:r>
              <w:rPr>
                <w:rFonts w:hint="eastAsia" w:ascii="宋体" w:hAnsi="宋体" w:cs="宋体"/>
                <w:szCs w:val="21"/>
                <w:lang w:val="zh-CN"/>
              </w:rPr>
              <w:t>监听监看、数据储存等操作便捷</w:t>
            </w:r>
          </w:p>
          <w:p w14:paraId="2E78AF23">
            <w:pPr>
              <w:ind w:left="57"/>
              <w:rPr>
                <w:rFonts w:ascii="宋体" w:hAnsi="宋体" w:cs="宋体"/>
                <w:szCs w:val="21"/>
              </w:rPr>
            </w:pPr>
          </w:p>
        </w:tc>
      </w:tr>
      <w:tr w14:paraId="67B7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4678A0EC">
            <w:pPr>
              <w:pStyle w:val="14"/>
              <w:shd w:val="clear" w:color="auto" w:fill="auto"/>
              <w:jc w:val="center"/>
              <w:rPr>
                <w:rFonts w:ascii="宋体" w:hAnsi="宋体" w:cs="宋体"/>
                <w:szCs w:val="21"/>
              </w:rPr>
            </w:pPr>
            <w:r>
              <w:rPr>
                <w:rFonts w:hint="eastAsia" w:ascii="宋体" w:hAnsi="宋体" w:cs="宋体"/>
                <w:szCs w:val="21"/>
              </w:rPr>
              <w:t>（七）</w:t>
            </w:r>
          </w:p>
        </w:tc>
        <w:tc>
          <w:tcPr>
            <w:tcW w:w="4825" w:type="pct"/>
            <w:gridSpan w:val="3"/>
            <w:noWrap/>
            <w:vAlign w:val="center"/>
          </w:tcPr>
          <w:p w14:paraId="1CC25EB2">
            <w:pPr>
              <w:ind w:left="57"/>
              <w:rPr>
                <w:rFonts w:ascii="宋体" w:hAnsi="宋体" w:cs="宋体"/>
                <w:szCs w:val="21"/>
              </w:rPr>
            </w:pPr>
            <w:r>
              <w:rPr>
                <w:rFonts w:hint="eastAsia" w:ascii="宋体" w:hAnsi="宋体" w:cs="宋体"/>
                <w:szCs w:val="21"/>
              </w:rPr>
              <w:t>其他</w:t>
            </w:r>
          </w:p>
        </w:tc>
      </w:tr>
      <w:tr w14:paraId="3207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75" w:type="pct"/>
            <w:gridSpan w:val="2"/>
            <w:noWrap/>
            <w:vAlign w:val="center"/>
          </w:tcPr>
          <w:p w14:paraId="06E121E9">
            <w:pPr>
              <w:pStyle w:val="14"/>
              <w:shd w:val="clear" w:color="auto" w:fill="auto"/>
              <w:jc w:val="center"/>
              <w:rPr>
                <w:rFonts w:ascii="宋体" w:hAnsi="宋体" w:cs="宋体"/>
                <w:szCs w:val="21"/>
              </w:rPr>
            </w:pPr>
            <w:r>
              <w:rPr>
                <w:rFonts w:hint="eastAsia" w:ascii="宋体" w:hAnsi="宋体" w:cs="宋体"/>
                <w:szCs w:val="21"/>
              </w:rPr>
              <w:t>1</w:t>
            </w:r>
          </w:p>
        </w:tc>
        <w:tc>
          <w:tcPr>
            <w:tcW w:w="4825" w:type="pct"/>
            <w:gridSpan w:val="3"/>
            <w:shd w:val="clear" w:color="auto" w:fill="FFFFFF" w:themeFill="background1"/>
            <w:noWrap/>
            <w:vAlign w:val="center"/>
          </w:tcPr>
          <w:p w14:paraId="05DE8CBD">
            <w:pPr>
              <w:ind w:left="57"/>
            </w:pPr>
            <w:r>
              <w:rPr>
                <w:rFonts w:hint="eastAsia"/>
              </w:rPr>
              <w:t>1、驾驶室顶部前端安装红蓝长排警灯，警报器功率为100W，警灯、警报器为独立式电路，控制元件安装在驾驶室内</w:t>
            </w:r>
          </w:p>
          <w:p w14:paraId="45C9DEC4">
            <w:pPr>
              <w:ind w:left="57"/>
            </w:pPr>
            <w:r>
              <w:rPr>
                <w:rFonts w:hint="eastAsia"/>
              </w:rPr>
              <w:t>2、配电箱：选用金属材料制作，表面做喷塑处理，带电流电压监控，,含断路器、漏电保护、过载保护、短路保护等组件。</w:t>
            </w:r>
          </w:p>
          <w:p w14:paraId="6C73D034">
            <w:pPr>
              <w:ind w:left="57"/>
              <w:rPr>
                <w:color w:val="0000FF"/>
              </w:rPr>
            </w:pPr>
            <w:r>
              <w:rPr>
                <w:rFonts w:hint="eastAsia"/>
              </w:rPr>
              <w:t>3、汽车防静电系统：随车安装接地拖鞭、有效的做好防静电处理，配700mm长接地针1根、10米接地线1根；做好车体接地，确保操作人员人</w:t>
            </w:r>
            <w:r>
              <w:rPr>
                <w:rFonts w:hint="eastAsia"/>
                <w:lang w:val="en-US" w:eastAsia="zh-CN"/>
              </w:rPr>
              <w:t>身</w:t>
            </w:r>
            <w:r>
              <w:rPr>
                <w:rFonts w:hint="eastAsia"/>
              </w:rPr>
              <w:t>安全。</w:t>
            </w:r>
          </w:p>
        </w:tc>
      </w:tr>
    </w:tbl>
    <w:p w14:paraId="5E38E528"/>
    <w:p w14:paraId="47BC26AB"/>
    <w:p w14:paraId="1824409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全字庫說文解字"/>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kNTUyMWY3YmM4OWQ3YTA3ZTZhNWJhNTkwNTdiMTIifQ=="/>
  </w:docVars>
  <w:rsids>
    <w:rsidRoot w:val="007712F4"/>
    <w:rsid w:val="00043C55"/>
    <w:rsid w:val="00361D8F"/>
    <w:rsid w:val="004D09B6"/>
    <w:rsid w:val="0051593E"/>
    <w:rsid w:val="005E6DEA"/>
    <w:rsid w:val="006F2633"/>
    <w:rsid w:val="007712F4"/>
    <w:rsid w:val="00AD7F22"/>
    <w:rsid w:val="00FF1033"/>
    <w:rsid w:val="096E3D34"/>
    <w:rsid w:val="0C5938F7"/>
    <w:rsid w:val="2C296869"/>
    <w:rsid w:val="35ED31C1"/>
    <w:rsid w:val="3C3E2526"/>
    <w:rsid w:val="41585803"/>
    <w:rsid w:val="5B732333"/>
    <w:rsid w:val="62C07D70"/>
    <w:rsid w:val="73834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link w:val="10"/>
    <w:qFormat/>
    <w:uiPriority w:val="0"/>
    <w:pPr>
      <w:widowControl/>
      <w:shd w:val="clear" w:color="auto" w:fill="000080"/>
      <w:jc w:val="left"/>
    </w:pPr>
    <w:rPr>
      <w:kern w:val="0"/>
      <w:sz w:val="20"/>
      <w:szCs w:val="20"/>
    </w:rPr>
  </w:style>
  <w:style w:type="paragraph" w:styleId="3">
    <w:name w:val="Body Text"/>
    <w:basedOn w:val="1"/>
    <w:link w:val="12"/>
    <w:unhideWhenUsed/>
    <w:qFormat/>
    <w:uiPriority w:val="99"/>
    <w:pPr>
      <w:spacing w:after="120"/>
    </w:pPr>
    <w:rPr>
      <w:kern w:val="0"/>
      <w:sz w:val="20"/>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文档结构图 字符"/>
    <w:basedOn w:val="7"/>
    <w:link w:val="2"/>
    <w:qFormat/>
    <w:uiPriority w:val="0"/>
    <w:rPr>
      <w:rFonts w:ascii="Times New Roman" w:hAnsi="Times New Roman" w:eastAsia="宋体" w:cs="Times New Roman"/>
      <w:kern w:val="0"/>
      <w:sz w:val="20"/>
      <w:szCs w:val="20"/>
      <w:shd w:val="clear" w:color="auto" w:fill="000080"/>
    </w:rPr>
  </w:style>
  <w:style w:type="character" w:customStyle="1" w:styleId="11">
    <w:name w:val="正文文本 字符"/>
    <w:basedOn w:val="7"/>
    <w:semiHidden/>
    <w:qFormat/>
    <w:uiPriority w:val="99"/>
    <w:rPr>
      <w:rFonts w:ascii="Times New Roman" w:hAnsi="Times New Roman" w:eastAsia="宋体" w:cs="Times New Roman"/>
      <w:szCs w:val="24"/>
    </w:rPr>
  </w:style>
  <w:style w:type="character" w:customStyle="1" w:styleId="12">
    <w:name w:val="正文文本 字符1"/>
    <w:link w:val="3"/>
    <w:qFormat/>
    <w:uiPriority w:val="99"/>
    <w:rPr>
      <w:rFonts w:ascii="Times New Roman" w:hAnsi="Times New Roman" w:eastAsia="宋体" w:cs="Times New Roman"/>
      <w:kern w:val="0"/>
      <w:sz w:val="20"/>
      <w:szCs w:val="24"/>
    </w:rPr>
  </w:style>
  <w:style w:type="character" w:customStyle="1" w:styleId="13">
    <w:name w:val="Body text|2_"/>
    <w:link w:val="14"/>
    <w:qFormat/>
    <w:uiPriority w:val="0"/>
    <w:rPr>
      <w:shd w:val="clear" w:color="auto" w:fill="FFFFFF"/>
    </w:rPr>
  </w:style>
  <w:style w:type="paragraph" w:customStyle="1" w:styleId="14">
    <w:name w:val="Body text|2"/>
    <w:basedOn w:val="1"/>
    <w:link w:val="13"/>
    <w:qFormat/>
    <w:uiPriority w:val="0"/>
    <w:pPr>
      <w:shd w:val="clear" w:color="auto" w:fill="FFFFFF"/>
    </w:pPr>
    <w:rPr>
      <w:rFonts w:asciiTheme="minorHAnsi" w:hAnsiTheme="minorHAnsi" w:eastAsiaTheme="minorEastAsia" w:cstheme="minorBidi"/>
      <w:szCs w:val="22"/>
    </w:rPr>
  </w:style>
  <w:style w:type="character" w:customStyle="1" w:styleId="15">
    <w:name w:val="Body text|2 + PMingLiU"/>
    <w:basedOn w:val="7"/>
    <w:qFormat/>
    <w:uiPriority w:val="0"/>
    <w:rPr>
      <w:rFonts w:hint="eastAsia" w:ascii="PMingLiU" w:hAnsi="PMingLiU" w:eastAsia="PMingLiU" w:cs="PMingLiU"/>
      <w:color w:val="000000"/>
      <w:spacing w:val="0"/>
      <w:w w:val="100"/>
      <w:position w:val="0"/>
      <w:sz w:val="36"/>
      <w:szCs w:val="36"/>
      <w:shd w:val="clear" w:color="auto" w:fill="FFFFFF"/>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884</Words>
  <Characters>989</Characters>
  <Lines>7</Lines>
  <Paragraphs>2</Paragraphs>
  <TotalTime>3</TotalTime>
  <ScaleCrop>false</ScaleCrop>
  <LinksUpToDate>false</LinksUpToDate>
  <CharactersWithSpaces>999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2023-05-08T02:22:00Z</dcterms:created>
  <dc:creator>后勤装备科</dc:creator>
  <cp:lastModifiedBy>章小羽</cp:lastModifiedBy>
  <dcterms:modified xsi:type="dcterms:W3CDTF">2024-12-28T13:14:14Z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83A342E0967342BEA4A1EEC42954448F_12</vt:lpwstr>
  </property>
  <property fmtid="{D5CDD505-2E9C-101B-9397-08002B2CF9AE}" pid="4" name="KSOTemplateDocerSaveRecord">
    <vt:lpwstr>eyJoZGlkIjoiNjc3NmVjNmVmZGFlMjVlMDNlNDY5YTlkNWYyMmI5ZWYiLCJ1c2VySWQiOiIzNzU5NTc2MjQifQ==</vt:lpwstr>
  </property>
</Properties>
</file>